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873B" w14:textId="77777777" w:rsidR="00005B1F" w:rsidRPr="009B5EE1" w:rsidRDefault="00005B1F" w:rsidP="00005B1F">
      <w:pPr>
        <w:spacing w:before="100" w:beforeAutospacing="1" w:after="0"/>
        <w:jc w:val="center"/>
        <w:rPr>
          <w:rFonts w:ascii="Gadugi" w:hAnsi="Gadugi"/>
          <w:b/>
          <w:bCs/>
          <w:sz w:val="38"/>
          <w:szCs w:val="38"/>
        </w:rPr>
      </w:pPr>
      <w:r>
        <w:rPr>
          <w:noProof/>
        </w:rPr>
        <w:drawing>
          <wp:anchor distT="0" distB="0" distL="114300" distR="114300" simplePos="0" relativeHeight="251659264" behindDoc="0" locked="0" layoutInCell="1" allowOverlap="1" wp14:anchorId="612277C7" wp14:editId="0259FC91">
            <wp:simplePos x="0" y="0"/>
            <wp:positionH relativeFrom="column">
              <wp:posOffset>-487680</wp:posOffset>
            </wp:positionH>
            <wp:positionV relativeFrom="paragraph">
              <wp:posOffset>7620</wp:posOffset>
            </wp:positionV>
            <wp:extent cx="1965960" cy="1592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5960" cy="1592580"/>
                    </a:xfrm>
                    <a:prstGeom prst="rect">
                      <a:avLst/>
                    </a:prstGeom>
                    <a:noFill/>
                  </pic:spPr>
                </pic:pic>
              </a:graphicData>
            </a:graphic>
            <wp14:sizeRelH relativeFrom="page">
              <wp14:pctWidth>0</wp14:pctWidth>
            </wp14:sizeRelH>
            <wp14:sizeRelV relativeFrom="page">
              <wp14:pctHeight>0</wp14:pctHeight>
            </wp14:sizeRelV>
          </wp:anchor>
        </w:drawing>
      </w:r>
      <w:r w:rsidRPr="009B5EE1">
        <w:rPr>
          <w:rFonts w:ascii="Gadugi" w:hAnsi="Gadugi"/>
          <w:b/>
          <w:bCs/>
          <w:sz w:val="38"/>
          <w:szCs w:val="38"/>
        </w:rPr>
        <w:t>Western Wisconsin Healthcare Emergency Readiness</w:t>
      </w:r>
      <w:r>
        <w:rPr>
          <w:rFonts w:ascii="Gadugi" w:hAnsi="Gadugi"/>
          <w:b/>
          <w:bCs/>
          <w:sz w:val="38"/>
          <w:szCs w:val="38"/>
        </w:rPr>
        <w:t xml:space="preserve"> Co</w:t>
      </w:r>
      <w:r w:rsidRPr="009B5EE1">
        <w:rPr>
          <w:rFonts w:ascii="Gadugi" w:hAnsi="Gadugi"/>
          <w:b/>
          <w:bCs/>
          <w:sz w:val="38"/>
          <w:szCs w:val="38"/>
        </w:rPr>
        <w:t>alition</w:t>
      </w:r>
    </w:p>
    <w:p w14:paraId="1C55ABDE" w14:textId="77777777" w:rsidR="00005B1F" w:rsidRPr="00005B1F" w:rsidRDefault="00005B1F" w:rsidP="00005B1F">
      <w:pPr>
        <w:spacing w:after="0"/>
        <w:ind w:left="-864"/>
        <w:jc w:val="center"/>
        <w:rPr>
          <w:rFonts w:ascii="Calibri" w:hAnsi="Calibri" w:cs="Calibri"/>
          <w:b/>
          <w:bCs/>
          <w:sz w:val="22"/>
          <w:szCs w:val="22"/>
        </w:rPr>
      </w:pPr>
      <w:r w:rsidRPr="00005B1F">
        <w:rPr>
          <w:rFonts w:ascii="Calibri" w:hAnsi="Calibri" w:cs="Calibri"/>
          <w:b/>
          <w:bCs/>
          <w:sz w:val="22"/>
          <w:szCs w:val="22"/>
        </w:rPr>
        <w:t>Buffalo   Crawford   Jackson   La Crosse   Monroe</w:t>
      </w:r>
    </w:p>
    <w:p w14:paraId="1DAF176D" w14:textId="77777777" w:rsidR="00005B1F" w:rsidRPr="00005B1F" w:rsidRDefault="00005B1F" w:rsidP="00005B1F">
      <w:pPr>
        <w:spacing w:after="0"/>
        <w:ind w:left="-864"/>
        <w:jc w:val="center"/>
        <w:rPr>
          <w:rFonts w:ascii="Calibri" w:hAnsi="Calibri" w:cs="Calibri"/>
          <w:sz w:val="22"/>
          <w:szCs w:val="22"/>
        </w:rPr>
      </w:pPr>
      <w:r w:rsidRPr="00005B1F">
        <w:rPr>
          <w:rFonts w:ascii="Calibri" w:hAnsi="Calibri" w:cs="Calibri"/>
          <w:b/>
          <w:bCs/>
          <w:sz w:val="22"/>
          <w:szCs w:val="22"/>
        </w:rPr>
        <w:t>Trempealeau   Vernon   Counties &amp; Ho-Chunk Nation</w:t>
      </w:r>
    </w:p>
    <w:p w14:paraId="481BC349" w14:textId="77777777" w:rsidR="00005B1F" w:rsidRDefault="00005B1F" w:rsidP="00005B1F">
      <w:pPr>
        <w:spacing w:after="0"/>
        <w:ind w:left="-864"/>
        <w:jc w:val="right"/>
      </w:pPr>
    </w:p>
    <w:p w14:paraId="1FAAE76D" w14:textId="7A637C88" w:rsidR="00C41C23" w:rsidRDefault="00226B9F" w:rsidP="00005B1F">
      <w:pPr>
        <w:rPr>
          <w:rFonts w:ascii="Calibri" w:hAnsi="Calibri" w:cs="Calibri"/>
          <w:b/>
          <w:bCs/>
          <w:sz w:val="22"/>
          <w:szCs w:val="22"/>
        </w:rPr>
      </w:pPr>
      <w:r>
        <w:rPr>
          <w:rFonts w:ascii="Calibri" w:hAnsi="Calibri" w:cs="Calibri"/>
          <w:b/>
          <w:bCs/>
          <w:sz w:val="22"/>
          <w:szCs w:val="22"/>
        </w:rPr>
        <w:t xml:space="preserve">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4881D1A6" w14:textId="19F76881" w:rsidR="00C41C23" w:rsidRPr="00226B9F" w:rsidRDefault="00226B9F" w:rsidP="00005B1F">
      <w:pPr>
        <w:rPr>
          <w:rFonts w:ascii="Calibri" w:hAnsi="Calibri" w:cs="Calibri"/>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Pr="00226B9F">
        <w:rPr>
          <w:rFonts w:ascii="Calibri" w:hAnsi="Calibri" w:cs="Calibri"/>
          <w:sz w:val="22"/>
          <w:szCs w:val="22"/>
        </w:rPr>
        <w:t>Date of Implementation:</w:t>
      </w:r>
      <w:r w:rsidR="00D5510D">
        <w:rPr>
          <w:rFonts w:ascii="Calibri" w:hAnsi="Calibri" w:cs="Calibri"/>
          <w:sz w:val="22"/>
          <w:szCs w:val="22"/>
        </w:rPr>
        <w:t xml:space="preserve"> June 29, 2026</w:t>
      </w:r>
    </w:p>
    <w:p w14:paraId="09D122EC" w14:textId="3BA63DF4" w:rsidR="00005B1F" w:rsidRDefault="00005B1F" w:rsidP="00005B1F">
      <w:pPr>
        <w:rPr>
          <w:rFonts w:ascii="Calibri" w:hAnsi="Calibri" w:cs="Calibri"/>
          <w:b/>
          <w:bCs/>
          <w:sz w:val="22"/>
          <w:szCs w:val="22"/>
        </w:rPr>
      </w:pPr>
      <w:r w:rsidRPr="00D746CD">
        <w:rPr>
          <w:rFonts w:ascii="Calibri" w:hAnsi="Calibri" w:cs="Calibri"/>
          <w:b/>
          <w:bCs/>
          <w:sz w:val="22"/>
          <w:szCs w:val="22"/>
        </w:rPr>
        <w:t xml:space="preserve">WWHERC </w:t>
      </w:r>
      <w:r w:rsidR="00EA7AEC" w:rsidRPr="00D746CD">
        <w:rPr>
          <w:rFonts w:ascii="Calibri" w:hAnsi="Calibri" w:cs="Calibri"/>
          <w:b/>
          <w:bCs/>
          <w:sz w:val="22"/>
          <w:szCs w:val="22"/>
        </w:rPr>
        <w:t xml:space="preserve">Indirect </w:t>
      </w:r>
      <w:r w:rsidR="00BF7F6B" w:rsidRPr="00D746CD">
        <w:rPr>
          <w:rFonts w:ascii="Calibri" w:hAnsi="Calibri" w:cs="Calibri"/>
          <w:b/>
          <w:bCs/>
          <w:sz w:val="22"/>
          <w:szCs w:val="22"/>
        </w:rPr>
        <w:t>Funds</w:t>
      </w:r>
      <w:r w:rsidR="00D5510D">
        <w:rPr>
          <w:rFonts w:ascii="Calibri" w:hAnsi="Calibri" w:cs="Calibri"/>
          <w:b/>
          <w:bCs/>
          <w:sz w:val="22"/>
          <w:szCs w:val="22"/>
        </w:rPr>
        <w:t>,</w:t>
      </w:r>
      <w:r w:rsidR="00EA7AEC" w:rsidRPr="00D746CD">
        <w:rPr>
          <w:rFonts w:ascii="Calibri" w:hAnsi="Calibri" w:cs="Calibri"/>
          <w:b/>
          <w:bCs/>
          <w:sz w:val="22"/>
          <w:szCs w:val="22"/>
        </w:rPr>
        <w:t xml:space="preserve"> </w:t>
      </w:r>
      <w:r w:rsidR="00EA7AEC" w:rsidRPr="00D5510D">
        <w:rPr>
          <w:rFonts w:ascii="Calibri" w:hAnsi="Calibri" w:cs="Calibri"/>
          <w:sz w:val="22"/>
          <w:szCs w:val="22"/>
        </w:rPr>
        <w:t>Policy</w:t>
      </w:r>
      <w:r w:rsidRPr="00D5510D">
        <w:rPr>
          <w:rFonts w:ascii="Calibri" w:hAnsi="Calibri" w:cs="Calibri"/>
          <w:sz w:val="22"/>
          <w:szCs w:val="22"/>
        </w:rPr>
        <w:t xml:space="preserve"> </w:t>
      </w:r>
      <w:r w:rsidR="00D5510D" w:rsidRPr="00D5510D">
        <w:rPr>
          <w:rFonts w:ascii="Calibri" w:hAnsi="Calibri" w:cs="Calibri"/>
          <w:sz w:val="22"/>
          <w:szCs w:val="22"/>
        </w:rPr>
        <w:t>#</w:t>
      </w:r>
      <w:r w:rsidR="00F303AC">
        <w:rPr>
          <w:rFonts w:ascii="Calibri" w:hAnsi="Calibri" w:cs="Calibri"/>
          <w:sz w:val="22"/>
          <w:szCs w:val="22"/>
        </w:rPr>
        <w:t>8</w:t>
      </w:r>
    </w:p>
    <w:p w14:paraId="7C37B5A8" w14:textId="77777777" w:rsidR="00C41C23" w:rsidRPr="00D746CD" w:rsidRDefault="00C41C23" w:rsidP="00005B1F">
      <w:pPr>
        <w:rPr>
          <w:rFonts w:ascii="Calibri" w:hAnsi="Calibri" w:cs="Calibri"/>
          <w:b/>
          <w:bCs/>
          <w:sz w:val="22"/>
          <w:szCs w:val="22"/>
        </w:rPr>
      </w:pPr>
    </w:p>
    <w:p w14:paraId="2187284B" w14:textId="0CE2FCFD" w:rsidR="00422261" w:rsidRPr="00D746CD" w:rsidRDefault="0037072A" w:rsidP="00005B1F">
      <w:pPr>
        <w:rPr>
          <w:rFonts w:ascii="Calibri" w:hAnsi="Calibri" w:cs="Calibri"/>
          <w:sz w:val="22"/>
          <w:szCs w:val="22"/>
        </w:rPr>
      </w:pPr>
      <w:r w:rsidRPr="00D746CD">
        <w:rPr>
          <w:rFonts w:ascii="Calibri" w:hAnsi="Calibri" w:cs="Calibri"/>
          <w:sz w:val="22"/>
          <w:szCs w:val="22"/>
        </w:rPr>
        <w:t xml:space="preserve">Budgeting indirect costs is allowable and optional for HERC regions. In addition to the federal indirect cost information provided in the ASPR HPP 2024-2028 Cooperative Agreement Funding Policies and Limitations section above, subrecipient grantee HERCs are expected to follow the </w:t>
      </w:r>
      <w:hyperlink r:id="rId8" w:history="1">
        <w:r w:rsidRPr="00D746CD">
          <w:rPr>
            <w:rStyle w:val="Hyperlink"/>
            <w:rFonts w:ascii="Calibri" w:hAnsi="Calibri" w:cs="Calibri"/>
            <w:sz w:val="22"/>
            <w:szCs w:val="22"/>
          </w:rPr>
          <w:t>Wisconsin DHS Allowable Cost Policy Manual</w:t>
        </w:r>
      </w:hyperlink>
      <w:r w:rsidRPr="00D746CD">
        <w:rPr>
          <w:rFonts w:ascii="Calibri" w:hAnsi="Calibri" w:cs="Calibri"/>
          <w:sz w:val="22"/>
          <w:szCs w:val="22"/>
        </w:rPr>
        <w:t>. Subrecipient grantee agencies budgeting for indirect costs and claiming indirect costs in invoices submitted to Wisconsin DHS are expected to have a documented indirect cost policy. Documentation of this policy must be made available to OPEHC upon request.</w:t>
      </w:r>
    </w:p>
    <w:p w14:paraId="75840CBF" w14:textId="6BE1166A" w:rsidR="00242CB6" w:rsidRPr="00D746CD" w:rsidRDefault="00242CB6" w:rsidP="00005B1F">
      <w:pPr>
        <w:rPr>
          <w:rFonts w:ascii="Calibri" w:hAnsi="Calibri" w:cs="Calibri"/>
          <w:sz w:val="22"/>
          <w:szCs w:val="22"/>
        </w:rPr>
      </w:pPr>
    </w:p>
    <w:p w14:paraId="3218D87E" w14:textId="497590C1" w:rsidR="00BF7F6B" w:rsidRPr="00C41C23" w:rsidRDefault="00BF7F6B" w:rsidP="00005B1F">
      <w:pPr>
        <w:pStyle w:val="ListParagraph"/>
        <w:numPr>
          <w:ilvl w:val="0"/>
          <w:numId w:val="2"/>
        </w:numPr>
        <w:rPr>
          <w:rFonts w:ascii="Calibri" w:hAnsi="Calibri" w:cs="Calibri"/>
          <w:sz w:val="22"/>
          <w:szCs w:val="22"/>
        </w:rPr>
      </w:pPr>
      <w:r w:rsidRPr="00C41C23">
        <w:rPr>
          <w:rFonts w:ascii="Calibri" w:hAnsi="Calibri" w:cs="Calibri"/>
          <w:sz w:val="22"/>
          <w:szCs w:val="22"/>
        </w:rPr>
        <w:t xml:space="preserve">The Western Wisconsin Healthcare Emergency Readiness Coalition (WWHERC) will </w:t>
      </w:r>
      <w:r w:rsidR="00C06189" w:rsidRPr="00C41C23">
        <w:rPr>
          <w:rFonts w:ascii="Calibri" w:hAnsi="Calibri" w:cs="Calibri"/>
          <w:sz w:val="22"/>
          <w:szCs w:val="22"/>
        </w:rPr>
        <w:t xml:space="preserve"> </w:t>
      </w:r>
      <w:r w:rsidRPr="00C41C23">
        <w:rPr>
          <w:rFonts w:ascii="Calibri" w:hAnsi="Calibri" w:cs="Calibri"/>
          <w:sz w:val="22"/>
          <w:szCs w:val="22"/>
        </w:rPr>
        <w:t xml:space="preserve">collect indirect </w:t>
      </w:r>
      <w:r w:rsidR="0037072A" w:rsidRPr="00C41C23">
        <w:rPr>
          <w:rFonts w:ascii="Calibri" w:hAnsi="Calibri" w:cs="Calibri"/>
          <w:sz w:val="22"/>
          <w:szCs w:val="22"/>
        </w:rPr>
        <w:t>costs</w:t>
      </w:r>
      <w:r w:rsidRPr="00C41C23">
        <w:rPr>
          <w:rFonts w:ascii="Calibri" w:hAnsi="Calibri" w:cs="Calibri"/>
          <w:sz w:val="22"/>
          <w:szCs w:val="22"/>
        </w:rPr>
        <w:t xml:space="preserve"> whenever a</w:t>
      </w:r>
      <w:r w:rsidR="0037072A" w:rsidRPr="00C41C23">
        <w:rPr>
          <w:rFonts w:ascii="Calibri" w:hAnsi="Calibri" w:cs="Calibri"/>
          <w:sz w:val="22"/>
          <w:szCs w:val="22"/>
        </w:rPr>
        <w:t>llowable</w:t>
      </w:r>
      <w:r w:rsidRPr="00C41C23">
        <w:rPr>
          <w:rFonts w:ascii="Calibri" w:hAnsi="Calibri" w:cs="Calibri"/>
          <w:sz w:val="22"/>
          <w:szCs w:val="22"/>
        </w:rPr>
        <w:t>.</w:t>
      </w:r>
    </w:p>
    <w:p w14:paraId="20C8C573" w14:textId="224DC273" w:rsidR="0037072A" w:rsidRPr="00D746CD" w:rsidRDefault="0037072A" w:rsidP="0037072A">
      <w:pPr>
        <w:pStyle w:val="ListParagraph"/>
        <w:numPr>
          <w:ilvl w:val="0"/>
          <w:numId w:val="2"/>
        </w:numPr>
        <w:rPr>
          <w:rFonts w:ascii="Calibri" w:hAnsi="Calibri" w:cs="Calibri"/>
          <w:sz w:val="22"/>
          <w:szCs w:val="22"/>
        </w:rPr>
      </w:pPr>
      <w:r w:rsidRPr="00D746CD">
        <w:rPr>
          <w:rFonts w:ascii="Calibri" w:hAnsi="Calibri" w:cs="Calibri"/>
          <w:sz w:val="22"/>
          <w:szCs w:val="22"/>
        </w:rPr>
        <w:t xml:space="preserve">The Wisconsin Department of Health Services (WI DHS) has approved the WWHERC indirect cost rate of 10%. Designated public grant indirect funds can be used towards indirect expenses by the HERC that are allowable under the requirements of the Hospital Preparedness Program (HPP) grant. </w:t>
      </w:r>
    </w:p>
    <w:p w14:paraId="67F2F7F1" w14:textId="1B966F63" w:rsidR="0037072A" w:rsidRPr="00D746CD" w:rsidRDefault="00D746CD" w:rsidP="00005B1F">
      <w:pPr>
        <w:pStyle w:val="ListParagraph"/>
        <w:numPr>
          <w:ilvl w:val="0"/>
          <w:numId w:val="2"/>
        </w:numPr>
        <w:rPr>
          <w:rFonts w:ascii="Calibri" w:hAnsi="Calibri" w:cs="Calibri"/>
          <w:sz w:val="22"/>
          <w:szCs w:val="22"/>
        </w:rPr>
      </w:pPr>
      <w:r>
        <w:rPr>
          <w:rFonts w:ascii="Calibri" w:hAnsi="Calibri" w:cs="Calibri"/>
          <w:sz w:val="22"/>
          <w:szCs w:val="22"/>
        </w:rPr>
        <w:t xml:space="preserve">When received </w:t>
      </w:r>
      <w:r w:rsidR="0037072A" w:rsidRPr="00D746CD">
        <w:rPr>
          <w:rFonts w:ascii="Calibri" w:hAnsi="Calibri" w:cs="Calibri"/>
          <w:sz w:val="22"/>
          <w:szCs w:val="22"/>
        </w:rPr>
        <w:t>Indirect Costs will become part of the WWHERC</w:t>
      </w:r>
      <w:r w:rsidR="00242CB6" w:rsidRPr="00D746CD">
        <w:rPr>
          <w:rFonts w:ascii="Calibri" w:hAnsi="Calibri" w:cs="Calibri"/>
          <w:sz w:val="22"/>
          <w:szCs w:val="22"/>
        </w:rPr>
        <w:t>’s</w:t>
      </w:r>
      <w:r w:rsidR="0037072A" w:rsidRPr="00D746CD">
        <w:rPr>
          <w:rFonts w:ascii="Calibri" w:hAnsi="Calibri" w:cs="Calibri"/>
          <w:sz w:val="22"/>
          <w:szCs w:val="22"/>
        </w:rPr>
        <w:t xml:space="preserve"> </w:t>
      </w:r>
      <w:r w:rsidR="00242CB6" w:rsidRPr="00D746CD">
        <w:rPr>
          <w:rFonts w:ascii="Calibri" w:hAnsi="Calibri" w:cs="Calibri"/>
          <w:sz w:val="22"/>
          <w:szCs w:val="22"/>
        </w:rPr>
        <w:t>C</w:t>
      </w:r>
      <w:r w:rsidR="0037072A" w:rsidRPr="00D746CD">
        <w:rPr>
          <w:rFonts w:ascii="Calibri" w:hAnsi="Calibri" w:cs="Calibri"/>
          <w:sz w:val="22"/>
          <w:szCs w:val="22"/>
        </w:rPr>
        <w:t xml:space="preserve">ash </w:t>
      </w:r>
      <w:r w:rsidR="00242CB6" w:rsidRPr="00D746CD">
        <w:rPr>
          <w:rFonts w:ascii="Calibri" w:hAnsi="Calibri" w:cs="Calibri"/>
          <w:sz w:val="22"/>
          <w:szCs w:val="22"/>
        </w:rPr>
        <w:t>B</w:t>
      </w:r>
      <w:r w:rsidR="0037072A" w:rsidRPr="00D746CD">
        <w:rPr>
          <w:rFonts w:ascii="Calibri" w:hAnsi="Calibri" w:cs="Calibri"/>
          <w:sz w:val="22"/>
          <w:szCs w:val="22"/>
        </w:rPr>
        <w:t>alance.</w:t>
      </w:r>
    </w:p>
    <w:p w14:paraId="01459151" w14:textId="2CAECB9B" w:rsidR="00BF7F6B" w:rsidRPr="00D746CD" w:rsidRDefault="0037072A" w:rsidP="00005B1F">
      <w:pPr>
        <w:pStyle w:val="ListParagraph"/>
        <w:numPr>
          <w:ilvl w:val="0"/>
          <w:numId w:val="2"/>
        </w:numPr>
        <w:rPr>
          <w:rFonts w:ascii="Calibri" w:hAnsi="Calibri" w:cs="Calibri"/>
          <w:sz w:val="22"/>
          <w:szCs w:val="22"/>
        </w:rPr>
      </w:pPr>
      <w:r w:rsidRPr="00D746CD">
        <w:rPr>
          <w:rFonts w:ascii="Calibri" w:hAnsi="Calibri" w:cs="Calibri"/>
          <w:sz w:val="22"/>
          <w:szCs w:val="22"/>
        </w:rPr>
        <w:t xml:space="preserve">The Cash Balance will </w:t>
      </w:r>
      <w:r w:rsidR="00BF7F6B" w:rsidRPr="00D746CD">
        <w:rPr>
          <w:rFonts w:ascii="Calibri" w:hAnsi="Calibri" w:cs="Calibri"/>
          <w:sz w:val="22"/>
          <w:szCs w:val="22"/>
        </w:rPr>
        <w:t xml:space="preserve">utilize indirect funds for standard business operations. </w:t>
      </w:r>
    </w:p>
    <w:p w14:paraId="4B07BA8D" w14:textId="58AB2BB2" w:rsidR="0037072A" w:rsidRDefault="0037072A" w:rsidP="0037072A">
      <w:pPr>
        <w:pStyle w:val="ListParagraph"/>
        <w:numPr>
          <w:ilvl w:val="0"/>
          <w:numId w:val="2"/>
        </w:numPr>
        <w:rPr>
          <w:rFonts w:ascii="Calibri" w:hAnsi="Calibri" w:cs="Calibri"/>
          <w:sz w:val="22"/>
          <w:szCs w:val="22"/>
        </w:rPr>
      </w:pPr>
      <w:r w:rsidRPr="00D746CD">
        <w:rPr>
          <w:rFonts w:ascii="Calibri" w:hAnsi="Calibri" w:cs="Calibri"/>
          <w:sz w:val="22"/>
          <w:szCs w:val="22"/>
        </w:rPr>
        <w:t>The WWHERC executive board will determine how the WWHERC’s cash balance will be utilized and spent.</w:t>
      </w:r>
    </w:p>
    <w:p w14:paraId="0BB3093E" w14:textId="7640F66F" w:rsidR="00D746CD" w:rsidRPr="00D746CD" w:rsidRDefault="00D746CD" w:rsidP="00D746CD">
      <w:pPr>
        <w:pStyle w:val="ListParagraph"/>
        <w:numPr>
          <w:ilvl w:val="0"/>
          <w:numId w:val="2"/>
        </w:numPr>
        <w:rPr>
          <w:rFonts w:ascii="Calibri" w:hAnsi="Calibri" w:cs="Calibri"/>
          <w:sz w:val="22"/>
          <w:szCs w:val="22"/>
        </w:rPr>
      </w:pPr>
      <w:r>
        <w:rPr>
          <w:rFonts w:ascii="Calibri" w:hAnsi="Calibri" w:cs="Calibri"/>
          <w:sz w:val="22"/>
          <w:szCs w:val="22"/>
        </w:rPr>
        <w:t xml:space="preserve">The </w:t>
      </w:r>
      <w:r w:rsidRPr="00D746CD">
        <w:rPr>
          <w:rFonts w:ascii="Calibri" w:hAnsi="Calibri" w:cs="Calibri"/>
          <w:sz w:val="22"/>
          <w:szCs w:val="22"/>
        </w:rPr>
        <w:t>WWHERC will maintain accounting records of all funds and expenditures.</w:t>
      </w:r>
    </w:p>
    <w:p w14:paraId="10ED72CC" w14:textId="61F78192" w:rsidR="006B1E26" w:rsidRPr="00D746CD" w:rsidRDefault="006B1E26" w:rsidP="006B1E26">
      <w:pPr>
        <w:pStyle w:val="ListParagraph"/>
        <w:numPr>
          <w:ilvl w:val="0"/>
          <w:numId w:val="2"/>
        </w:numPr>
        <w:rPr>
          <w:rFonts w:ascii="Calibri" w:hAnsi="Calibri" w:cs="Calibri"/>
          <w:sz w:val="22"/>
          <w:szCs w:val="22"/>
        </w:rPr>
      </w:pPr>
      <w:r w:rsidRPr="00D746CD">
        <w:rPr>
          <w:rFonts w:ascii="Calibri" w:hAnsi="Calibri" w:cs="Calibri"/>
          <w:sz w:val="22"/>
          <w:szCs w:val="22"/>
        </w:rPr>
        <w:t xml:space="preserve">The cash balance may be used for standard business operations. Expenses paid out of this category include, but are not limited to, technology, software, office supplies, checks, insurance, PO Box, etc. </w:t>
      </w:r>
    </w:p>
    <w:p w14:paraId="639487AF" w14:textId="26B2E7BE" w:rsidR="006B1E26" w:rsidRPr="00D746CD" w:rsidRDefault="006B1E26" w:rsidP="006B1E26">
      <w:pPr>
        <w:pStyle w:val="ListParagraph"/>
        <w:numPr>
          <w:ilvl w:val="0"/>
          <w:numId w:val="2"/>
        </w:numPr>
        <w:rPr>
          <w:rFonts w:ascii="Calibri" w:hAnsi="Calibri" w:cs="Calibri"/>
          <w:sz w:val="22"/>
          <w:szCs w:val="22"/>
        </w:rPr>
      </w:pPr>
      <w:r w:rsidRPr="00D746CD">
        <w:rPr>
          <w:rFonts w:ascii="Calibri" w:hAnsi="Calibri" w:cs="Calibri"/>
          <w:sz w:val="22"/>
          <w:szCs w:val="22"/>
        </w:rPr>
        <w:t xml:space="preserve">The cash balance may be utilized to pay up front for items that are in an approved budget when </w:t>
      </w:r>
      <w:r w:rsidR="00D746CD">
        <w:rPr>
          <w:rFonts w:ascii="Calibri" w:hAnsi="Calibri" w:cs="Calibri"/>
          <w:sz w:val="22"/>
          <w:szCs w:val="22"/>
        </w:rPr>
        <w:t xml:space="preserve">waiting for </w:t>
      </w:r>
      <w:r w:rsidRPr="00D746CD">
        <w:rPr>
          <w:rFonts w:ascii="Calibri" w:hAnsi="Calibri" w:cs="Calibri"/>
          <w:sz w:val="22"/>
          <w:szCs w:val="22"/>
        </w:rPr>
        <w:t>reimbursement is not practical.</w:t>
      </w:r>
    </w:p>
    <w:p w14:paraId="223CC8BB" w14:textId="68A37018" w:rsidR="006B1E26" w:rsidRPr="00D746CD" w:rsidRDefault="006B1E26" w:rsidP="00BF7F6B">
      <w:pPr>
        <w:pStyle w:val="ListParagraph"/>
        <w:numPr>
          <w:ilvl w:val="0"/>
          <w:numId w:val="2"/>
        </w:numPr>
        <w:rPr>
          <w:rFonts w:ascii="Calibri" w:hAnsi="Calibri" w:cs="Calibri"/>
          <w:sz w:val="22"/>
          <w:szCs w:val="22"/>
        </w:rPr>
      </w:pPr>
      <w:r w:rsidRPr="00D746CD">
        <w:rPr>
          <w:rFonts w:ascii="Calibri" w:hAnsi="Calibri" w:cs="Calibri"/>
          <w:sz w:val="22"/>
          <w:szCs w:val="22"/>
        </w:rPr>
        <w:t xml:space="preserve">The cash balance may be utilized to allow the WWHERC to continue </w:t>
      </w:r>
      <w:r w:rsidR="00D746CD" w:rsidRPr="00D746CD">
        <w:rPr>
          <w:rFonts w:ascii="Calibri" w:hAnsi="Calibri" w:cs="Calibri"/>
          <w:sz w:val="22"/>
          <w:szCs w:val="22"/>
        </w:rPr>
        <w:t xml:space="preserve">coalition </w:t>
      </w:r>
      <w:r w:rsidRPr="00D746CD">
        <w:rPr>
          <w:rFonts w:ascii="Calibri" w:hAnsi="Calibri" w:cs="Calibri"/>
          <w:sz w:val="22"/>
          <w:szCs w:val="22"/>
        </w:rPr>
        <w:t xml:space="preserve">business </w:t>
      </w:r>
      <w:r w:rsidR="00D746CD" w:rsidRPr="00D746CD">
        <w:rPr>
          <w:rFonts w:ascii="Calibri" w:hAnsi="Calibri" w:cs="Calibri"/>
          <w:sz w:val="22"/>
          <w:szCs w:val="22"/>
        </w:rPr>
        <w:t xml:space="preserve">between budget periods including, but are not limited to, </w:t>
      </w:r>
      <w:r w:rsidRPr="00D746CD">
        <w:rPr>
          <w:rFonts w:ascii="Calibri" w:hAnsi="Calibri" w:cs="Calibri"/>
          <w:sz w:val="22"/>
          <w:szCs w:val="22"/>
        </w:rPr>
        <w:t>fund</w:t>
      </w:r>
      <w:r w:rsidR="00D746CD" w:rsidRPr="00D746CD">
        <w:rPr>
          <w:rFonts w:ascii="Calibri" w:hAnsi="Calibri" w:cs="Calibri"/>
          <w:sz w:val="22"/>
          <w:szCs w:val="22"/>
        </w:rPr>
        <w:t>ing</w:t>
      </w:r>
      <w:r w:rsidRPr="00D746CD">
        <w:rPr>
          <w:rFonts w:ascii="Calibri" w:hAnsi="Calibri" w:cs="Calibri"/>
          <w:sz w:val="22"/>
          <w:szCs w:val="22"/>
        </w:rPr>
        <w:t xml:space="preserve"> contracts </w:t>
      </w:r>
      <w:r w:rsidR="00D746CD" w:rsidRPr="00D746CD">
        <w:rPr>
          <w:rFonts w:ascii="Calibri" w:hAnsi="Calibri" w:cs="Calibri"/>
          <w:sz w:val="22"/>
          <w:szCs w:val="22"/>
        </w:rPr>
        <w:t>and other board approved monthly and annual expenses.</w:t>
      </w:r>
    </w:p>
    <w:p w14:paraId="1605EF85" w14:textId="1D141BC8" w:rsidR="006B1E26" w:rsidRDefault="00BF7F6B" w:rsidP="006B1E26">
      <w:pPr>
        <w:pStyle w:val="ListParagraph"/>
        <w:numPr>
          <w:ilvl w:val="0"/>
          <w:numId w:val="2"/>
        </w:numPr>
        <w:rPr>
          <w:rFonts w:ascii="Calibri" w:hAnsi="Calibri" w:cs="Calibri"/>
          <w:sz w:val="22"/>
          <w:szCs w:val="22"/>
        </w:rPr>
      </w:pPr>
      <w:r w:rsidRPr="00D746CD">
        <w:rPr>
          <w:rFonts w:ascii="Calibri" w:hAnsi="Calibri" w:cs="Calibri"/>
          <w:sz w:val="22"/>
          <w:szCs w:val="22"/>
        </w:rPr>
        <w:t xml:space="preserve">Refer to 45 CFR 75.414, Indirect Costs, and to the DHS Allowable Costs Policy Manual, for more information. </w:t>
      </w:r>
      <w:r w:rsidR="006B1E26" w:rsidRPr="00D746CD">
        <w:rPr>
          <w:rFonts w:ascii="Calibri" w:hAnsi="Calibri" w:cs="Calibri"/>
          <w:sz w:val="22"/>
          <w:szCs w:val="22"/>
        </w:rPr>
        <w:t xml:space="preserve"> </w:t>
      </w:r>
    </w:p>
    <w:p w14:paraId="71F880A3" w14:textId="77777777" w:rsidR="00D746CD" w:rsidRDefault="00D746CD" w:rsidP="00D746CD">
      <w:pPr>
        <w:pStyle w:val="ListParagraph"/>
        <w:rPr>
          <w:rFonts w:ascii="Calibri" w:hAnsi="Calibri" w:cs="Calibri"/>
          <w:sz w:val="22"/>
          <w:szCs w:val="22"/>
        </w:rPr>
      </w:pPr>
    </w:p>
    <w:p w14:paraId="7E05BD56" w14:textId="60E40A79" w:rsidR="00C41C23" w:rsidRPr="00D746CD" w:rsidRDefault="00C41C23" w:rsidP="00D746CD">
      <w:pPr>
        <w:pStyle w:val="ListParagraph"/>
        <w:rPr>
          <w:rFonts w:ascii="Calibri" w:hAnsi="Calibri" w:cs="Calibri"/>
          <w:sz w:val="22"/>
          <w:szCs w:val="22"/>
        </w:rPr>
      </w:pPr>
    </w:p>
    <w:sectPr w:rsidR="00C41C23" w:rsidRPr="00D746CD" w:rsidSect="00005B1F">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3F88" w14:textId="77777777" w:rsidR="00D536F6" w:rsidRDefault="00D536F6">
      <w:pPr>
        <w:spacing w:after="0" w:line="240" w:lineRule="auto"/>
      </w:pPr>
      <w:r>
        <w:separator/>
      </w:r>
    </w:p>
  </w:endnote>
  <w:endnote w:type="continuationSeparator" w:id="0">
    <w:p w14:paraId="3F23D488" w14:textId="77777777" w:rsidR="00D536F6" w:rsidRDefault="00D5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4C81" w14:textId="77777777" w:rsidR="00A14186" w:rsidRDefault="00A14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0076" w14:textId="1CAA41C4" w:rsidR="00A14186" w:rsidRDefault="00A14186">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99AF" w14:textId="77777777" w:rsidR="00A14186" w:rsidRDefault="00A14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F95F" w14:textId="77777777" w:rsidR="00D536F6" w:rsidRDefault="00D536F6">
      <w:pPr>
        <w:spacing w:after="0" w:line="240" w:lineRule="auto"/>
      </w:pPr>
      <w:r>
        <w:separator/>
      </w:r>
    </w:p>
  </w:footnote>
  <w:footnote w:type="continuationSeparator" w:id="0">
    <w:p w14:paraId="3827FC0A" w14:textId="77777777" w:rsidR="00D536F6" w:rsidRDefault="00D5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09E2" w14:textId="77777777" w:rsidR="00A14186" w:rsidRDefault="00A14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34F2" w14:textId="77777777" w:rsidR="00A14186" w:rsidRDefault="00A14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D2B4" w14:textId="77777777" w:rsidR="00A14186" w:rsidRDefault="00A14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C633E"/>
    <w:multiLevelType w:val="hybridMultilevel"/>
    <w:tmpl w:val="F984EFEC"/>
    <w:lvl w:ilvl="0" w:tplc="0409000F">
      <w:start w:val="1"/>
      <w:numFmt w:val="decimal"/>
      <w:lvlText w:val="%1."/>
      <w:lvlJc w:val="left"/>
      <w:pPr>
        <w:ind w:left="720" w:hanging="360"/>
      </w:pPr>
      <w:rPr>
        <w:rFonts w:hint="default"/>
      </w:rPr>
    </w:lvl>
    <w:lvl w:ilvl="1" w:tplc="F59C2C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6F6AA0"/>
    <w:multiLevelType w:val="hybridMultilevel"/>
    <w:tmpl w:val="AE047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051240">
    <w:abstractNumId w:val="1"/>
  </w:num>
  <w:num w:numId="2" w16cid:durableId="163015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B1F"/>
    <w:rsid w:val="00005B1F"/>
    <w:rsid w:val="000B64D5"/>
    <w:rsid w:val="000E1FFB"/>
    <w:rsid w:val="000F710C"/>
    <w:rsid w:val="00145BC0"/>
    <w:rsid w:val="00184CFE"/>
    <w:rsid w:val="00226B9F"/>
    <w:rsid w:val="00242CB6"/>
    <w:rsid w:val="002A5138"/>
    <w:rsid w:val="002B18B1"/>
    <w:rsid w:val="00353043"/>
    <w:rsid w:val="0037072A"/>
    <w:rsid w:val="00397306"/>
    <w:rsid w:val="00422261"/>
    <w:rsid w:val="00492BC5"/>
    <w:rsid w:val="004C73CA"/>
    <w:rsid w:val="00555BBE"/>
    <w:rsid w:val="0062112F"/>
    <w:rsid w:val="006A21A0"/>
    <w:rsid w:val="006B1E26"/>
    <w:rsid w:val="0076466F"/>
    <w:rsid w:val="008111FA"/>
    <w:rsid w:val="00884EDD"/>
    <w:rsid w:val="009F4F9A"/>
    <w:rsid w:val="00A14186"/>
    <w:rsid w:val="00B25F1E"/>
    <w:rsid w:val="00BF7F6B"/>
    <w:rsid w:val="00C06189"/>
    <w:rsid w:val="00C274EE"/>
    <w:rsid w:val="00C41C23"/>
    <w:rsid w:val="00C85E05"/>
    <w:rsid w:val="00D122F5"/>
    <w:rsid w:val="00D536F6"/>
    <w:rsid w:val="00D5510D"/>
    <w:rsid w:val="00D746CD"/>
    <w:rsid w:val="00DC1D83"/>
    <w:rsid w:val="00DE4CB1"/>
    <w:rsid w:val="00E32A8B"/>
    <w:rsid w:val="00E90F76"/>
    <w:rsid w:val="00EA299B"/>
    <w:rsid w:val="00EA7AEC"/>
    <w:rsid w:val="00EC5F48"/>
    <w:rsid w:val="00F303AC"/>
    <w:rsid w:val="00F701CD"/>
    <w:rsid w:val="00F7242C"/>
    <w:rsid w:val="00F934FF"/>
    <w:rsid w:val="00FA1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EF8B7"/>
  <w15:chartTrackingRefBased/>
  <w15:docId w15:val="{6099F3F8-A470-40E4-AF76-8F7DEAEB1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B1F"/>
    <w:rPr>
      <w:rFonts w:eastAsiaTheme="majorEastAsia" w:cstheme="majorBidi"/>
      <w:color w:val="272727" w:themeColor="text1" w:themeTint="D8"/>
    </w:rPr>
  </w:style>
  <w:style w:type="paragraph" w:styleId="Title">
    <w:name w:val="Title"/>
    <w:basedOn w:val="Normal"/>
    <w:next w:val="Normal"/>
    <w:link w:val="TitleChar"/>
    <w:uiPriority w:val="10"/>
    <w:qFormat/>
    <w:rsid w:val="00005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B1F"/>
    <w:pPr>
      <w:spacing w:before="160"/>
      <w:jc w:val="center"/>
    </w:pPr>
    <w:rPr>
      <w:i/>
      <w:iCs/>
      <w:color w:val="404040" w:themeColor="text1" w:themeTint="BF"/>
    </w:rPr>
  </w:style>
  <w:style w:type="character" w:customStyle="1" w:styleId="QuoteChar">
    <w:name w:val="Quote Char"/>
    <w:basedOn w:val="DefaultParagraphFont"/>
    <w:link w:val="Quote"/>
    <w:uiPriority w:val="29"/>
    <w:rsid w:val="00005B1F"/>
    <w:rPr>
      <w:i/>
      <w:iCs/>
      <w:color w:val="404040" w:themeColor="text1" w:themeTint="BF"/>
    </w:rPr>
  </w:style>
  <w:style w:type="paragraph" w:styleId="ListParagraph">
    <w:name w:val="List Paragraph"/>
    <w:basedOn w:val="Normal"/>
    <w:uiPriority w:val="34"/>
    <w:qFormat/>
    <w:rsid w:val="00005B1F"/>
    <w:pPr>
      <w:ind w:left="720"/>
      <w:contextualSpacing/>
    </w:pPr>
  </w:style>
  <w:style w:type="character" w:styleId="IntenseEmphasis">
    <w:name w:val="Intense Emphasis"/>
    <w:basedOn w:val="DefaultParagraphFont"/>
    <w:uiPriority w:val="21"/>
    <w:qFormat/>
    <w:rsid w:val="00005B1F"/>
    <w:rPr>
      <w:i/>
      <w:iCs/>
      <w:color w:val="0F4761" w:themeColor="accent1" w:themeShade="BF"/>
    </w:rPr>
  </w:style>
  <w:style w:type="paragraph" w:styleId="IntenseQuote">
    <w:name w:val="Intense Quote"/>
    <w:basedOn w:val="Normal"/>
    <w:next w:val="Normal"/>
    <w:link w:val="IntenseQuoteChar"/>
    <w:uiPriority w:val="30"/>
    <w:qFormat/>
    <w:rsid w:val="00005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B1F"/>
    <w:rPr>
      <w:i/>
      <w:iCs/>
      <w:color w:val="0F4761" w:themeColor="accent1" w:themeShade="BF"/>
    </w:rPr>
  </w:style>
  <w:style w:type="character" w:styleId="IntenseReference">
    <w:name w:val="Intense Reference"/>
    <w:basedOn w:val="DefaultParagraphFont"/>
    <w:uiPriority w:val="32"/>
    <w:qFormat/>
    <w:rsid w:val="00005B1F"/>
    <w:rPr>
      <w:b/>
      <w:bCs/>
      <w:smallCaps/>
      <w:color w:val="0F4761" w:themeColor="accent1" w:themeShade="BF"/>
      <w:spacing w:val="5"/>
    </w:rPr>
  </w:style>
  <w:style w:type="character" w:styleId="Hyperlink">
    <w:name w:val="Hyperlink"/>
    <w:basedOn w:val="DefaultParagraphFont"/>
    <w:uiPriority w:val="99"/>
    <w:unhideWhenUsed/>
    <w:rsid w:val="00005B1F"/>
    <w:rPr>
      <w:color w:val="467886" w:themeColor="hyperlink"/>
      <w:u w:val="single"/>
    </w:rPr>
  </w:style>
  <w:style w:type="character" w:styleId="UnresolvedMention">
    <w:name w:val="Unresolved Mention"/>
    <w:basedOn w:val="DefaultParagraphFont"/>
    <w:uiPriority w:val="99"/>
    <w:semiHidden/>
    <w:unhideWhenUsed/>
    <w:rsid w:val="00005B1F"/>
    <w:rPr>
      <w:color w:val="605E5C"/>
      <w:shd w:val="clear" w:color="auto" w:fill="E1DFDD"/>
    </w:rPr>
  </w:style>
  <w:style w:type="paragraph" w:styleId="Revision">
    <w:name w:val="Revision"/>
    <w:hidden/>
    <w:uiPriority w:val="99"/>
    <w:semiHidden/>
    <w:rsid w:val="00C06189"/>
    <w:pPr>
      <w:spacing w:after="0" w:line="240" w:lineRule="auto"/>
    </w:pPr>
  </w:style>
  <w:style w:type="paragraph" w:styleId="Header">
    <w:name w:val="header"/>
    <w:basedOn w:val="Normal"/>
    <w:link w:val="HeaderChar"/>
    <w:uiPriority w:val="99"/>
    <w:unhideWhenUsed/>
    <w:rsid w:val="00A14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186"/>
  </w:style>
  <w:style w:type="paragraph" w:styleId="Footer">
    <w:name w:val="footer"/>
    <w:basedOn w:val="Normal"/>
    <w:link w:val="FooterChar"/>
    <w:uiPriority w:val="99"/>
    <w:unhideWhenUsed/>
    <w:rsid w:val="00A14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s.wisconsin.gov/business/allow-cost-manual.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Cameryn Koch</dc:creator>
  <cp:keywords/>
  <dc:description/>
  <cp:lastModifiedBy>scenicbluffsoutfitters@gmail.com</cp:lastModifiedBy>
  <cp:revision>2</cp:revision>
  <dcterms:created xsi:type="dcterms:W3CDTF">2026-09-15T11:36:00Z</dcterms:created>
  <dcterms:modified xsi:type="dcterms:W3CDTF">2026-09-15T11:36:00Z</dcterms:modified>
</cp:coreProperties>
</file>